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45</w:t>
      </w:r>
    </w:p>
    <w:p>
      <w:r>
        <w:t>Bundesgericht (BGE), 1991-04-04, FR</w:t>
      </w:r>
    </w:p>
    <w:p>
      <w:r>
        <w:rPr>
          <w:b/>
        </w:rPr>
        <w:t xml:space="preserve">Quelle: </w:t>
      </w:r>
      <w:r>
        <w:t>https://mcp.opencaselaw.ch/entscheid/bge_117 IV 45</w:t>
      </w:r>
    </w:p>
    <w:p>
      <w:r>
        <w:t>FR: ATF 117 IV 45</w:t>
      </w:r>
    </w:p>
    <w:p>
      <w:r>
        <w:t>IT: DTF 117 IV 45</w:t>
      </w:r>
    </w:p>
    <w:p>
      <w:pPr>
        <w:pStyle w:val="Heading2"/>
      </w:pPr>
      <w:r>
        <w:t>Regeste</w:t>
      </w:r>
    </w:p>
    <w:p>
      <w:r>
        <w:t>Regeste Art. 24 lit. a und c MSchG; Art. 13 lit. d aUWG. Das unberechtigte Anbringen einer geschützten Marke ist ausschliesslich gemäss dem MSchG strafbar, das lex specialis gegenüber dem UWG ist (E. c). Dagegen ist, wenn die Marke nicht rechtsgültig geschützt ist, das UWG insoweit anwendbar, als es die Bestrafung dessen vorsieht, der Massnahmen trifft, die geeignet sind, Verwechslungen mit den Waren eines andern herbeizuführen (E. d).</w:t>
      </w:r>
    </w:p>
    <w:p>
      <w:pPr>
        <w:pStyle w:val="Heading2"/>
      </w:pPr>
      <w:r>
        <w:t>Erwägungen</w:t>
      </w:r>
    </w:p>
    <w:p>
      <w:r>
        <w:rPr>
          <w:b/>
        </w:rPr>
        <w:t>E. 2</w:t>
      </w:r>
    </w:p>
    <w:p>
      <w:r>
        <w:t>c) Selon le recourant, les accusés se sont rendus coupables d'infraction à l'art. 13 let. d aLCD. Il n'examine cependant pas si cette disposition peut être appliquée en concours avec celles de la LMF, pour les mêmes faits. TROLLER (Immaterialgüterrecht, vol. II 3e éd., Bâle 1985 p. 1005 ch. V) se prononce contre l'application cumulative sur le plan pénal de la LMF et de la LCD, la LCD cédant le pas à la LMF qui constitue une loi spéciale. Si, comme en l'espèce, on reproche à l'accusé exclusivement d'avoir apposé une marque sans autorisation, on doit admettre que la LMF réglemente cette branche de la propriété intellectuelle de façon plus détaillée que la LCD, dont la portée est plus générale. Il se justifie dès lors d'écarter ici la LCD en tant que loi plus générale donc subsidiaire (voir BESSE, La répression pénale de la contrefaçon en droit suisse, thèse Lausanne 1990 p. 245). Ainsi, l'autorité cantonale n'a pas violé le droit fédéral en n'appliquant pas la LCD, ce qui entraîne le rejet du pourvoi sur ce point également. d) Il convient de préciser que dans l'hypothèse où la LMF ne serait pas applicable, par exemple si la marque n'était en réalité pas protégée, il ne serait nullement exclu que l'apposition d'une marque puisse, selon les circonstances, tomber sous le coup de l'art. 13 let. d aLCD; d'après cette disposition, en effet, se rend coupable de concurrence déloyale celui qui, intentionnellement, prend des mesures pour faire naître une confusion avec les marchandises d'autrui. Ce problème ne se pose toutefois pas ici car l'autorité cantonale a appliqué la LMF en tant que lex specialis.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